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Rejestr czynnos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>ci przetwarzania danych osobowych</w:t>
      </w:r>
    </w:p>
    <w:p>
      <w:pPr>
        <w:pStyle w:val="Domyślne"/>
        <w:bidi w:val="0"/>
        <w:spacing w:after="240" w:line="300" w:lineRule="atLeast"/>
        <w:ind w:left="0" w:right="0" w:firstLine="0"/>
        <w:jc w:val="left"/>
        <w:rPr>
          <w:rFonts w:ascii="Times" w:cs="Times" w:hAnsi="Times" w:eastAsia="Times"/>
          <w:sz w:val="27"/>
          <w:szCs w:val="27"/>
          <w:u w:color="000000"/>
          <w:rtl w:val="0"/>
        </w:rPr>
      </w:pPr>
    </w:p>
    <w:tbl>
      <w:tblPr>
        <w:tblW w:w="9632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00a2ff"/>
        </w:tblPrEx>
        <w:trPr>
          <w:trHeight w:val="297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2" w:hRule="atLeast"/>
        </w:trPr>
        <w:tc>
          <w:tcPr>
            <w:tcW w:type="dxa" w:w="4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Nazwa oraz dane kontaktowe Administradora Danych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Imi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ę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 nazwisko lub nazwa oraz dane kontaktowe Inspektora Ochrony Danych Osobowych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Opis kategorii os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b, kt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rych dane dotycz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, oraz kategorii danych osobowych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Cele przetwarzania danych osobowych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6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kategorie odbiorc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w, kt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rym dane osobowe zosta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y lub zostan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ą 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ujawnione, w tym odbiorc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 w pa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ń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stwach trzecich lub w organizacjach mi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ę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dzynarodowych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Informacja o przekazywaniu danych osobowych do pa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ń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stwa trzeciego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Planowane terminy usuni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ę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cia poszczeg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lnych kategorii danych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a-DK"/>
              </w:rPr>
              <w:t>Og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lny opis techniczny i organizacyjnych 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ś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rodk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 bezpiecze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ń</w:t>
            </w: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stwa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"/>
        <w:widowControl w:val="0"/>
        <w:bidi w:val="0"/>
        <w:spacing w:after="240"/>
        <w:ind w:left="2" w:right="0" w:hanging="2"/>
        <w:jc w:val="left"/>
        <w:rPr>
          <w:rtl w:val="0"/>
        </w:rPr>
      </w:pPr>
      <w:r>
        <w:rPr>
          <w:rFonts w:ascii="Times" w:cs="Times" w:hAnsi="Times" w:eastAsia="Times"/>
          <w:sz w:val="27"/>
          <w:szCs w:val="27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